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02"/>
        </w:tabs>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left="2880" w:firstLine="0"/>
        <w:rPr>
          <w:rFonts w:ascii="Calibri" w:cs="Calibri" w:eastAsia="Calibri" w:hAnsi="Calibri"/>
          <w:b w:val="1"/>
          <w:color w:val="93268f"/>
          <w:sz w:val="36"/>
          <w:szCs w:val="36"/>
        </w:rPr>
      </w:pPr>
      <w:r w:rsidDel="00000000" w:rsidR="00000000" w:rsidRPr="00000000">
        <w:rPr>
          <w:rFonts w:ascii="Calibri" w:cs="Calibri" w:eastAsia="Calibri" w:hAnsi="Calibri"/>
          <w:b w:val="1"/>
          <w:color w:val="93268f"/>
          <w:sz w:val="36"/>
          <w:szCs w:val="36"/>
          <w:rtl w:val="0"/>
        </w:rPr>
        <w:t xml:space="preserve">       Étude de cas</w:t>
      </w:r>
    </w:p>
    <w:p w:rsidR="00000000" w:rsidDel="00000000" w:rsidP="00000000" w:rsidRDefault="00000000" w:rsidRPr="00000000" w14:paraId="00000003">
      <w:pPr>
        <w:rPr>
          <w:rFonts w:ascii="Calibri" w:cs="Calibri" w:eastAsia="Calibri" w:hAnsi="Calibri"/>
          <w:b w:val="1"/>
          <w:color w:val="266c9f"/>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971" w:hRule="atLeast"/>
          <w:tblHeader w:val="0"/>
        </w:trPr>
        <w:tc>
          <w:tcPr>
            <w:shd w:fill="93268f" w:val="clear"/>
          </w:tcPr>
          <w:p w:rsidR="00000000" w:rsidDel="00000000" w:rsidP="00000000" w:rsidRDefault="00000000" w:rsidRPr="00000000" w14:paraId="0000000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Titre de l'étude de cas / bonne pratique</w:t>
            </w:r>
          </w:p>
        </w:tc>
        <w:tc>
          <w:tcPr>
            <w:shd w:fill="ffffff" w:val="clear"/>
          </w:tcPr>
          <w:p w:rsidR="00000000" w:rsidDel="00000000" w:rsidP="00000000" w:rsidRDefault="00000000" w:rsidRPr="00000000" w14:paraId="00000006">
            <w:pPr>
              <w:rPr>
                <w:rFonts w:ascii="Calibri" w:cs="Calibri" w:eastAsia="Calibri" w:hAnsi="Calibri"/>
                <w:color w:val="244061"/>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44061"/>
              </w:rPr>
            </w:pPr>
            <w:r w:rsidDel="00000000" w:rsidR="00000000" w:rsidRPr="00000000">
              <w:rPr>
                <w:rFonts w:ascii="Calibri" w:cs="Calibri" w:eastAsia="Calibri" w:hAnsi="Calibri"/>
                <w:color w:val="244061"/>
                <w:rtl w:val="0"/>
              </w:rPr>
              <w:t xml:space="preserve">Les femmes entrepreneurs récompensées : Panduru</w:t>
            </w:r>
          </w:p>
          <w:p w:rsidR="00000000" w:rsidDel="00000000" w:rsidP="00000000" w:rsidRDefault="00000000" w:rsidRPr="00000000" w14:paraId="00000008">
            <w:pPr>
              <w:rPr>
                <w:rFonts w:ascii="Calibri" w:cs="Calibri" w:eastAsia="Calibri" w:hAnsi="Calibri"/>
                <w:color w:val="244061"/>
              </w:rPr>
            </w:pPr>
            <w:r w:rsidDel="00000000" w:rsidR="00000000" w:rsidRPr="00000000">
              <w:rPr>
                <w:rtl w:val="0"/>
              </w:rPr>
            </w:r>
          </w:p>
        </w:tc>
      </w:tr>
      <w:tr>
        <w:trPr>
          <w:cantSplit w:val="0"/>
          <w:trHeight w:val="636" w:hRule="atLeast"/>
          <w:tblHeader w:val="0"/>
        </w:trPr>
        <w:tc>
          <w:tcPr>
            <w:shd w:fill="93268f" w:val="clear"/>
          </w:tcPr>
          <w:p w:rsidR="00000000" w:rsidDel="00000000" w:rsidP="00000000" w:rsidRDefault="00000000" w:rsidRPr="00000000" w14:paraId="00000009">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Mots-clés (balise méta)</w:t>
            </w:r>
          </w:p>
        </w:tc>
        <w:tc>
          <w:tcPr>
            <w:shd w:fill="ffffff" w:val="clear"/>
          </w:tcPr>
          <w:p w:rsidR="00000000" w:rsidDel="00000000" w:rsidP="00000000" w:rsidRDefault="00000000" w:rsidRPr="00000000" w14:paraId="0000000A">
            <w:pPr>
              <w:rPr>
                <w:rFonts w:ascii="Calibri" w:cs="Calibri" w:eastAsia="Calibri" w:hAnsi="Calibri"/>
                <w:color w:val="244061"/>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244061"/>
              </w:rPr>
            </w:pPr>
            <w:r w:rsidDel="00000000" w:rsidR="00000000" w:rsidRPr="00000000">
              <w:rPr>
                <w:rFonts w:ascii="Calibri" w:cs="Calibri" w:eastAsia="Calibri" w:hAnsi="Calibri"/>
                <w:color w:val="244061"/>
                <w:rtl w:val="0"/>
              </w:rPr>
              <w:t xml:space="preserve">Prix, entrepreneur, durabilité, femmes</w:t>
            </w:r>
          </w:p>
        </w:tc>
      </w:tr>
      <w:tr>
        <w:trPr>
          <w:cantSplit w:val="0"/>
          <w:trHeight w:val="636" w:hRule="atLeast"/>
          <w:tblHeader w:val="0"/>
        </w:trPr>
        <w:tc>
          <w:tcPr>
            <w:shd w:fill="93268f" w:val="clear"/>
          </w:tcPr>
          <w:p w:rsidR="00000000" w:rsidDel="00000000" w:rsidP="00000000" w:rsidRDefault="00000000" w:rsidRPr="00000000" w14:paraId="0000000C">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Fourni par</w:t>
            </w:r>
          </w:p>
        </w:tc>
        <w:tc>
          <w:tcPr>
            <w:shd w:fill="ffffff" w:val="clear"/>
          </w:tcPr>
          <w:p w:rsidR="00000000" w:rsidDel="00000000" w:rsidP="00000000" w:rsidRDefault="00000000" w:rsidRPr="00000000" w14:paraId="0000000D">
            <w:pPr>
              <w:rPr>
                <w:rFonts w:ascii="Calibri" w:cs="Calibri" w:eastAsia="Calibri" w:hAnsi="Calibri"/>
                <w:color w:val="244061"/>
              </w:rPr>
            </w:pPr>
            <w:r w:rsidDel="00000000" w:rsidR="00000000" w:rsidRPr="00000000">
              <w:rPr>
                <w:rFonts w:ascii="Calibri" w:cs="Calibri" w:eastAsia="Calibri" w:hAnsi="Calibri"/>
                <w:color w:val="244061"/>
                <w:rtl w:val="0"/>
              </w:rPr>
              <w:t xml:space="preserve">Solutions Internet</w:t>
            </w:r>
          </w:p>
          <w:p w:rsidR="00000000" w:rsidDel="00000000" w:rsidP="00000000" w:rsidRDefault="00000000" w:rsidRPr="00000000" w14:paraId="0000000E">
            <w:pPr>
              <w:rPr>
                <w:rFonts w:ascii="Calibri" w:cs="Calibri" w:eastAsia="Calibri" w:hAnsi="Calibri"/>
                <w:color w:val="244061"/>
              </w:rPr>
            </w:pPr>
            <w:r w:rsidDel="00000000" w:rsidR="00000000" w:rsidRPr="00000000">
              <w:rPr>
                <w:rtl w:val="0"/>
              </w:rPr>
            </w:r>
          </w:p>
        </w:tc>
      </w:tr>
      <w:tr>
        <w:trPr>
          <w:cantSplit w:val="0"/>
          <w:trHeight w:val="600" w:hRule="atLeast"/>
          <w:tblHeader w:val="0"/>
        </w:trPr>
        <w:tc>
          <w:tcPr>
            <w:shd w:fill="93268f" w:val="clear"/>
            <w:vAlign w:val="center"/>
          </w:tcPr>
          <w:p w:rsidR="00000000" w:rsidDel="00000000" w:rsidP="00000000" w:rsidRDefault="00000000" w:rsidRPr="00000000" w14:paraId="0000000F">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Langue</w:t>
            </w:r>
          </w:p>
        </w:tc>
        <w:tc>
          <w:tcPr>
            <w:shd w:fill="ffffff" w:val="clear"/>
            <w:vAlign w:val="center"/>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Français</w:t>
            </w:r>
            <w:r w:rsidDel="00000000" w:rsidR="00000000" w:rsidRPr="00000000">
              <w:rPr>
                <w:rtl w:val="0"/>
              </w:rPr>
            </w:r>
          </w:p>
          <w:p w:rsidR="00000000" w:rsidDel="00000000" w:rsidP="00000000" w:rsidRDefault="00000000" w:rsidRPr="00000000" w14:paraId="00000011">
            <w:pPr>
              <w:rPr>
                <w:rFonts w:ascii="Calibri" w:cs="Calibri" w:eastAsia="Calibri" w:hAnsi="Calibri"/>
                <w:color w:val="244061"/>
              </w:rPr>
            </w:pPr>
            <w:r w:rsidDel="00000000" w:rsidR="00000000" w:rsidRPr="00000000">
              <w:rPr>
                <w:rtl w:val="0"/>
              </w:rPr>
            </w:r>
          </w:p>
        </w:tc>
      </w:tr>
      <w:tr>
        <w:trPr>
          <w:cantSplit w:val="0"/>
          <w:trHeight w:val="264" w:hRule="atLeast"/>
          <w:tblHeader w:val="0"/>
        </w:trPr>
        <w:tc>
          <w:tcPr>
            <w:gridSpan w:val="2"/>
            <w:shd w:fill="93268f" w:val="clear"/>
            <w:vAlign w:val="center"/>
          </w:tcPr>
          <w:p w:rsidR="00000000" w:rsidDel="00000000" w:rsidP="00000000" w:rsidRDefault="00000000" w:rsidRPr="00000000" w14:paraId="00000012">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Étude de cas</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tc>
      </w:tr>
      <w:tr>
        <w:trPr>
          <w:cantSplit w:val="0"/>
          <w:trHeight w:val="6345" w:hRule="atLeast"/>
          <w:tblHeader w:val="0"/>
        </w:trPr>
        <w:tc>
          <w:tcPr>
            <w:gridSpan w:val="2"/>
            <w:shd w:fill="auto" w:val="clear"/>
          </w:tcPr>
          <w:p w:rsidR="00000000" w:rsidDel="00000000" w:rsidP="00000000" w:rsidRDefault="00000000" w:rsidRPr="00000000" w14:paraId="00000015">
            <w:pPr>
              <w:rPr>
                <w:rFonts w:ascii="Calibri" w:cs="Calibri" w:eastAsia="Calibri" w:hAnsi="Calibri"/>
                <w:i w:val="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Dans le cadre de l'école Juana Millán pour les femmes entrepreneurs, des prix ont été organisés en 2022 pour contribuer à la reconnaissance des efforts des femmes entrepreneurs, en identifiant les projets qui mettent en évidence les principes, les valeurs et les pratiques de l'économie sociale et solidaire, afin de promouvoir et d'encourager l'entrepreneuriat féminin transformateur.</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Ana Marcos Álvarez et Elena Fernández Suárez, deux professionnelles sociales asturiennes (espagnoles) spécialisées dans les programmes de formation et d'emploi, ainsi que des entrepreneurs créatifs désireux de travailler avec leurs mains, figuraient parmi les entrepreneurs participants qui ont reçu le "Premio con Nombre Propio" (prix avec un nom propre).</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De cette combinaison et de leur conscience environnementale est née Panduru, une initiative qui transforme les restes de pain de boulangerie en délicieuses pâtisseries, fabriquées avec amour et basées sur la culture traditionnelle de l'utilisation des aliments des femmes des générations précédentes.</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Ces prix ont permis de reconnaître l'effort d'entreprenariat, ainsi que de donner de la reconnaissance et de la visibilité aux projets. Grâce à cela, il est possible de reconnaître comment ces femmes ont pu saisir une opportunité d'entreprenariat durable, en utilisant le surplus de la production de pain pour fabriquer des produits de boulangerie.</w:t>
            </w: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244061"/>
              </w:rPr>
            </w:pPr>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21">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Lien de référence (le cas échéant)</w:t>
            </w:r>
          </w:p>
        </w:tc>
        <w:tc>
          <w:tcPr/>
          <w:p w:rsidR="00000000" w:rsidDel="00000000" w:rsidP="00000000" w:rsidRDefault="00000000" w:rsidRPr="00000000" w14:paraId="00000022">
            <w:pPr>
              <w:rPr>
                <w:rFonts w:ascii="Calibri" w:cs="Calibri" w:eastAsia="Calibri" w:hAnsi="Calibri"/>
                <w:color w:val="243255"/>
              </w:rPr>
            </w:pPr>
            <w:r w:rsidDel="00000000" w:rsidR="00000000" w:rsidRPr="00000000">
              <w:rPr>
                <w:rFonts w:ascii="Calibri" w:cs="Calibri" w:eastAsia="Calibri" w:hAnsi="Calibri"/>
                <w:color w:val="243255"/>
                <w:rtl w:val="0"/>
              </w:rPr>
              <w:t xml:space="preserve">https://panduru.es/</w:t>
            </w:r>
          </w:p>
          <w:p w:rsidR="00000000" w:rsidDel="00000000" w:rsidP="00000000" w:rsidRDefault="00000000" w:rsidRPr="00000000" w14:paraId="00000023">
            <w:pPr>
              <w:ind w:left="708" w:firstLine="0"/>
              <w:rPr>
                <w:rFonts w:ascii="Calibri" w:cs="Calibri" w:eastAsia="Calibri" w:hAnsi="Calibri"/>
                <w:color w:val="243255"/>
              </w:rPr>
            </w:pPr>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24">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Type de matériau</w:t>
            </w:r>
          </w:p>
        </w:tc>
        <w:tc>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ÉTUDE DE CAS</w:t>
            </w:r>
          </w:p>
          <w:p w:rsidR="00000000" w:rsidDel="00000000" w:rsidP="00000000" w:rsidRDefault="00000000" w:rsidRPr="00000000" w14:paraId="00000026">
            <w:pPr>
              <w:rPr>
                <w:rFonts w:ascii="Calibri" w:cs="Calibri" w:eastAsia="Calibri" w:hAnsi="Calibri"/>
                <w:color w:val="243255"/>
              </w:rPr>
            </w:pPr>
            <w:r w:rsidDel="00000000" w:rsidR="00000000" w:rsidRPr="00000000">
              <w:rPr>
                <w:rtl w:val="0"/>
              </w:rPr>
            </w:r>
          </w:p>
        </w:tc>
      </w:tr>
    </w:tbl>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50" w:w="11910" w:orient="portrait"/>
      <w:pgMar w:bottom="280" w:top="1600" w:left="168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
              <a:graphic>
                <a:graphicData uri="http://schemas.microsoft.com/office/word/2010/wordprocessingGroup">
                  <wpg:wgp>
                    <wpg:cNvGrpSpPr/>
                    <wpg:grpSpPr>
                      <a:xfrm>
                        <a:off x="1564575" y="0"/>
                        <a:ext cx="7562850" cy="10654234"/>
                        <a:chOff x="1564575" y="0"/>
                        <a:chExt cx="7562850" cy="7560000"/>
                      </a:xfrm>
                    </wpg:grpSpPr>
                    <wpg:grpSp>
                      <wpg:cNvGrpSpPr/>
                      <wpg:grpSpPr>
                        <a:xfrm>
                          <a:off x="1564575" y="0"/>
                          <a:ext cx="7562850" cy="7560000"/>
                          <a:chOff x="0" y="0"/>
                          <a:chExt cx="11910" cy="16845"/>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5" name="Shape 5"/>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6" name="Shape 6"/>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8" name="Shape 8"/>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9" name="Shape 9"/>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2" name="Shape 12"/>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3" name="Shape 13"/>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wgp>
                </a:graphicData>
              </a:graphic>
            </wp:anchor>
          </w:drawing>
        </mc:Choice>
        <mc:Fallback>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65423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Style w:val="Title"/>
      <w:ind w:firstLine="3426"/>
      <w:rPr>
        <w:color w:val="93268f"/>
      </w:rPr>
    </w:pPr>
    <w:r w:rsidDel="00000000" w:rsidR="00000000" w:rsidRPr="00000000">
      <w:rPr>
        <w:color w:val="93268f"/>
        <w:rtl w:val="0"/>
      </w:rPr>
      <w:t xml:space="preserve">dewproject.eu</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qFormat w:val="1"/>
    <w:rPr>
      <w:rFonts w:ascii="Arial MT" w:cs="Arial MT" w:eastAsia="Arial MT" w:hAnsi="Arial MT"/>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13"/>
      <w:szCs w:val="13"/>
    </w:rPr>
  </w:style>
  <w:style w:type="paragraph" w:styleId="Ttulo">
    <w:name w:val="Title"/>
    <w:basedOn w:val="Normal"/>
    <w:uiPriority w:val="10"/>
    <w:qFormat w:val="1"/>
    <w:pPr>
      <w:spacing w:before="122"/>
      <w:ind w:left="3426" w:right="3778"/>
      <w:jc w:val="center"/>
    </w:pPr>
    <w:rPr>
      <w:rFonts w:ascii="Tahoma" w:cs="Tahoma" w:eastAsia="Tahoma" w:hAnsi="Tahoma"/>
      <w:b w:val="1"/>
      <w:bCs w:val="1"/>
      <w:sz w:val="23"/>
      <w:szCs w:val="23"/>
    </w:rPr>
  </w:style>
  <w:style w:type="paragraph" w:styleId="Prrafodelista">
    <w:name w:val="List Paragraph"/>
    <w:basedOn w:val="Normal"/>
    <w:uiPriority w:val="1"/>
    <w:qFormat w:val="1"/>
  </w:style>
  <w:style w:type="paragraph" w:styleId="TableParagraph" w:customStyle="1">
    <w:name w:val="Table Paragraph"/>
    <w:basedOn w:val="Normal"/>
    <w:uiPriority w:val="1"/>
    <w:qFormat w:val="1"/>
  </w:style>
  <w:style w:type="paragraph" w:styleId="Encabezado">
    <w:name w:val="header"/>
    <w:basedOn w:val="Normal"/>
    <w:link w:val="EncabezadoCar"/>
    <w:uiPriority w:val="99"/>
    <w:unhideWhenUsed w:val="1"/>
    <w:rsid w:val="00FA44BE"/>
    <w:pPr>
      <w:tabs>
        <w:tab w:val="center" w:pos="4252"/>
        <w:tab w:val="right" w:pos="8504"/>
      </w:tabs>
    </w:pPr>
  </w:style>
  <w:style w:type="character" w:styleId="EncabezadoCar" w:customStyle="1">
    <w:name w:val="Encabezado Car"/>
    <w:basedOn w:val="Fuentedeprrafopredeter"/>
    <w:link w:val="Encabezado"/>
    <w:uiPriority w:val="99"/>
    <w:rsid w:val="00FA44BE"/>
    <w:rPr>
      <w:rFonts w:ascii="Arial MT" w:cs="Arial MT" w:eastAsia="Arial MT" w:hAnsi="Arial MT"/>
    </w:rPr>
  </w:style>
  <w:style w:type="paragraph" w:styleId="Piedepgina">
    <w:name w:val="footer"/>
    <w:basedOn w:val="Normal"/>
    <w:link w:val="PiedepginaCar"/>
    <w:uiPriority w:val="99"/>
    <w:unhideWhenUsed w:val="1"/>
    <w:rsid w:val="00FA44BE"/>
    <w:pPr>
      <w:tabs>
        <w:tab w:val="center" w:pos="4252"/>
        <w:tab w:val="right" w:pos="8504"/>
      </w:tabs>
    </w:pPr>
  </w:style>
  <w:style w:type="character" w:styleId="PiedepginaCar" w:customStyle="1">
    <w:name w:val="Pie de página Car"/>
    <w:basedOn w:val="Fuentedeprrafopredeter"/>
    <w:link w:val="Piedepgina"/>
    <w:uiPriority w:val="99"/>
    <w:rsid w:val="00FA44BE"/>
    <w:rPr>
      <w:rFonts w:ascii="Arial MT" w:cs="Arial MT" w:eastAsia="Arial MT" w:hAnsi="Arial MT"/>
    </w:rPr>
  </w:style>
  <w:style w:type="table" w:styleId="Tablaconcuadrcula">
    <w:name w:val="Table Grid"/>
    <w:basedOn w:val="Tablanormal"/>
    <w:uiPriority w:val="39"/>
    <w:rsid w:val="00D54FB1"/>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basedOn w:val="Fuentedeprrafopredeter"/>
    <w:uiPriority w:val="22"/>
    <w:qFormat w:val="1"/>
    <w:rsid w:val="00E710C7"/>
    <w:rPr>
      <w:b w:val="1"/>
      <w:bCs w:val="1"/>
    </w:rPr>
  </w:style>
  <w:style w:type="character" w:styleId="nfasis">
    <w:name w:val="Emphasis"/>
    <w:basedOn w:val="Fuentedeprrafopredeter"/>
    <w:uiPriority w:val="20"/>
    <w:qFormat w:val="1"/>
    <w:rsid w:val="00E710C7"/>
    <w:rPr>
      <w:i w:val="1"/>
      <w:iCs w:val="1"/>
    </w:rPr>
  </w:style>
  <w:style w:type="character" w:styleId="Hipervnculo">
    <w:name w:val="Hyperlink"/>
    <w:basedOn w:val="Fuentedeprrafopredeter"/>
    <w:uiPriority w:val="99"/>
    <w:unhideWhenUsed w:val="1"/>
    <w:rsid w:val="00B1152E"/>
    <w:rPr>
      <w:color w:val="0000ff" w:themeColor="hyperlink"/>
      <w:u w:val="single"/>
    </w:rPr>
  </w:style>
  <w:style w:type="character" w:styleId="Mencinsinresolver">
    <w:name w:val="Unresolved Mention"/>
    <w:basedOn w:val="Fuentedeprrafopredeter"/>
    <w:uiPriority w:val="99"/>
    <w:semiHidden w:val="1"/>
    <w:unhideWhenUsed w:val="1"/>
    <w:rsid w:val="00B1152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EWzxjLwUBE4HF6XNSP6JZQRLsg==">AMUW2mXIrtmexFWEwYdXKwsSWcx7gihU8EU8VPi+fvONO/J6V3Z3ICLMIKIF4GoVBd813jujuPB8X1nvB0rqlOn+9gh35ErSZXd7BMfUxlMqoapUHNGv3ys=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2022-01-04T10:32:00Z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